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1F" w:rsidRDefault="005C031F" w:rsidP="00A80F0E">
      <w:pPr>
        <w:jc w:val="center"/>
        <w:rPr>
          <w:b/>
        </w:rPr>
      </w:pPr>
    </w:p>
    <w:p w:rsidR="005C031F" w:rsidRDefault="005C031F" w:rsidP="00A80F0E">
      <w:pPr>
        <w:jc w:val="center"/>
        <w:rPr>
          <w:b/>
        </w:rPr>
      </w:pPr>
    </w:p>
    <w:p w:rsidR="008A2FCA" w:rsidRPr="00A80F0E" w:rsidRDefault="008A2FCA" w:rsidP="00A80F0E">
      <w:pPr>
        <w:jc w:val="center"/>
        <w:rPr>
          <w:b/>
        </w:rPr>
      </w:pPr>
      <w:r w:rsidRPr="00A80F0E">
        <w:rPr>
          <w:b/>
        </w:rPr>
        <w:t>KRITERET PËR PJESËMARRJE, KUALIFIKIM DHE VLERËSIM TË OFERTËS</w:t>
      </w:r>
    </w:p>
    <w:p w:rsidR="008A2FCA" w:rsidRPr="00A80F0E" w:rsidRDefault="008A2FCA" w:rsidP="00A80F0E">
      <w:pPr>
        <w:jc w:val="both"/>
        <w:rPr>
          <w:b/>
        </w:rPr>
      </w:pPr>
    </w:p>
    <w:p w:rsidR="008A2FCA" w:rsidRPr="00A80F0E" w:rsidRDefault="008A2FCA" w:rsidP="00A80F0E">
      <w:pPr>
        <w:jc w:val="both"/>
        <w:rPr>
          <w:b/>
        </w:rPr>
      </w:pPr>
    </w:p>
    <w:p w:rsidR="00B636A2" w:rsidRPr="00A80F0E" w:rsidRDefault="00B636A2" w:rsidP="00A80F0E">
      <w:pPr>
        <w:jc w:val="both"/>
      </w:pPr>
      <w:r w:rsidRPr="005C031F">
        <w:rPr>
          <w:b/>
          <w:i/>
          <w:u w:val="single"/>
        </w:rPr>
        <w:t>Autoriteti shitës kualifikon në procedurat e shitjes çdo kandidat ose ofertues vetëm kur paraqet</w:t>
      </w:r>
      <w:r w:rsidRPr="00A80F0E">
        <w:t>:</w:t>
      </w:r>
    </w:p>
    <w:p w:rsidR="00A80F0E" w:rsidRPr="00A80F0E" w:rsidRDefault="00A80F0E" w:rsidP="00A80F0E">
      <w:pPr>
        <w:jc w:val="both"/>
      </w:pPr>
    </w:p>
    <w:p w:rsidR="00A80F0E" w:rsidRPr="00A80F0E" w:rsidRDefault="00A80F0E" w:rsidP="00A80F0E">
      <w:pPr>
        <w:jc w:val="both"/>
      </w:pPr>
    </w:p>
    <w:p w:rsidR="00A80F0E" w:rsidRPr="00A80F0E" w:rsidRDefault="00A80F0E" w:rsidP="00A80F0E">
      <w:pPr>
        <w:jc w:val="both"/>
      </w:pPr>
      <w:r>
        <w:t>a) V</w:t>
      </w:r>
      <w:r w:rsidRPr="00A80F0E">
        <w:t xml:space="preserve">ërtetimi se subjekti ka statusin aktiv; </w:t>
      </w:r>
    </w:p>
    <w:p w:rsidR="00A80F0E" w:rsidRPr="004D31C5" w:rsidRDefault="00A80F0E" w:rsidP="00A80F0E">
      <w:pPr>
        <w:jc w:val="both"/>
      </w:pPr>
      <w:r>
        <w:t>b) V</w:t>
      </w:r>
      <w:r w:rsidRPr="00A80F0E">
        <w:t xml:space="preserve">ërtetimi se subjekti nuk është i dënuar penalisht me vendim të formës së prerë dhe nuk është në ndjekje </w:t>
      </w:r>
      <w:r w:rsidRPr="004D31C5">
        <w:t xml:space="preserve">penale; </w:t>
      </w:r>
    </w:p>
    <w:p w:rsidR="00A80F0E" w:rsidRPr="004D31C5" w:rsidRDefault="00A80F0E" w:rsidP="00A80F0E">
      <w:pPr>
        <w:jc w:val="both"/>
      </w:pPr>
      <w:r w:rsidRPr="004D31C5">
        <w:t>c) Ekstrakti nga QKB-ja për regjistrimin si person juridik, në objektin e të cilit të jetë përfshirë edhe zhvillimi i veprimtarisë minerare;</w:t>
      </w:r>
    </w:p>
    <w:p w:rsidR="00A80F0E" w:rsidRPr="004D31C5" w:rsidRDefault="00A80F0E" w:rsidP="00A80F0E">
      <w:pPr>
        <w:jc w:val="both"/>
      </w:pPr>
      <w:r w:rsidRPr="004D31C5">
        <w:t xml:space="preserve">ç) Vërtetimi i lëshuar nga administrata tatimore se subjekti ka paguar të gjitha detyrimet e sigurimeve shoqërore dhe ka plotësuar detyrimet fiskale; </w:t>
      </w:r>
    </w:p>
    <w:p w:rsidR="00A80F0E" w:rsidRPr="00A80F0E" w:rsidRDefault="00A80F0E" w:rsidP="00A80F0E">
      <w:pPr>
        <w:jc w:val="both"/>
      </w:pPr>
      <w:r w:rsidRPr="004D31C5">
        <w:t>d) Vërtetimi se subjekti ka paguar detyrimet për energjinë elektrike, të lëshuara nga Operatori i Shpërndarjes së Energjisë Elektrike;</w:t>
      </w:r>
    </w:p>
    <w:p w:rsidR="00A80F0E" w:rsidRPr="00A80F0E" w:rsidRDefault="00A80F0E" w:rsidP="00A80F0E">
      <w:pPr>
        <w:jc w:val="both"/>
      </w:pPr>
      <w:r>
        <w:t>dh) K</w:t>
      </w:r>
      <w:r w:rsidRPr="00A80F0E">
        <w:t xml:space="preserve">onfirmimi për burimet financiare të nevojshme për realizimin e investimeve të programuara për të zhvilluar veprimtarinë minerare, të vërtetuar nga dokumentet e mëposhtme: </w:t>
      </w:r>
    </w:p>
    <w:p w:rsidR="00A80F0E" w:rsidRPr="00A80F0E" w:rsidRDefault="00A80F0E" w:rsidP="00A80F0E">
      <w:pPr>
        <w:jc w:val="both"/>
        <w:rPr>
          <w:i/>
        </w:rPr>
      </w:pPr>
      <w:r w:rsidRPr="00A80F0E">
        <w:rPr>
          <w:i/>
        </w:rPr>
        <w:t xml:space="preserve">i. kopja e pasqyrave financiare të dy viteve të fundit, e certifikuar nga administrata tatimore; </w:t>
      </w:r>
    </w:p>
    <w:p w:rsidR="00A80F0E" w:rsidRPr="00A80F0E" w:rsidRDefault="00A80F0E" w:rsidP="00A80F0E">
      <w:pPr>
        <w:jc w:val="both"/>
        <w:rPr>
          <w:i/>
        </w:rPr>
      </w:pPr>
      <w:r w:rsidRPr="00A80F0E">
        <w:rPr>
          <w:i/>
        </w:rPr>
        <w:t xml:space="preserve">ii. vërtetimi nga banka që konfirmon se personi juridik ka të depozituar në numrin e llogarisë të paktën 20% të vlerës së investimit të parashikuar për t’u realizuar në programin e investimeve. </w:t>
      </w:r>
    </w:p>
    <w:p w:rsidR="00A80F0E" w:rsidRDefault="00A80F0E" w:rsidP="00A80F0E">
      <w:pPr>
        <w:jc w:val="both"/>
      </w:pPr>
      <w:r w:rsidRPr="00A80F0E">
        <w:t>Vërtetimi duhet të jetë lëshuar jo më parë se 30 (tridhjetë) ditë nga dita e</w:t>
      </w:r>
      <w:bookmarkStart w:id="0" w:name="_GoBack"/>
      <w:bookmarkEnd w:id="0"/>
      <w:r w:rsidRPr="00A80F0E">
        <w:t xml:space="preserve"> dorëzimit të dokumenteve;</w:t>
      </w:r>
    </w:p>
    <w:p w:rsidR="00A80F0E" w:rsidRPr="00A80F0E" w:rsidRDefault="00A80F0E" w:rsidP="00A80F0E">
      <w:pPr>
        <w:jc w:val="both"/>
      </w:pPr>
      <w:r w:rsidRPr="00950647">
        <w:rPr>
          <w:i/>
        </w:rPr>
        <w:t>iii.</w:t>
      </w:r>
      <w:r w:rsidRPr="00A80F0E">
        <w:rPr>
          <w:i/>
        </w:rPr>
        <w:t xml:space="preserve"> në rastet kur shoqëria ka paraqitur një dokument noterial me një investitor, i cili garanton mbështetje financiare për realizimin e programit të investimit, ky dokument duhet të shoqërohet me dokumentet që provojnë burimet financiare të këtij të fundit, të përcaktuara në nënndarjet “i” dhe “ii”, të shkronjës “dh”, të kësaj pike;</w:t>
      </w:r>
    </w:p>
    <w:p w:rsidR="00A80F0E" w:rsidRPr="00A80F0E" w:rsidRDefault="00F6735C" w:rsidP="00A80F0E">
      <w:pPr>
        <w:jc w:val="both"/>
      </w:pPr>
      <w:r>
        <w:t>e) V</w:t>
      </w:r>
      <w:r w:rsidR="00A80F0E" w:rsidRPr="00A80F0E">
        <w:t xml:space="preserve">ërtetime mbi përvojën në fushën minerare apo referenca për përmbushje të suksesshme të punimeve minerare të ngjashme, të lëshuara nga një ent publik ose privat, që tregon vlerën, kohën dhe natyrën e punimeve të ekzekutuara, dhe/ose çfarëdolloj dokumenti tjetër që parashikon legjislacioni minerar në fuqi. </w:t>
      </w:r>
    </w:p>
    <w:p w:rsidR="00A80F0E" w:rsidRPr="00A80F0E" w:rsidRDefault="00A80F0E" w:rsidP="00A80F0E">
      <w:pPr>
        <w:jc w:val="both"/>
      </w:pPr>
      <w:r w:rsidRPr="00A80F0E">
        <w:t>Në rast se subjekti nuk ka përvojë në fushën minerare, atëherë ai duhet të paraqesë një dokument noterial (marrëveshje bashkëpunimi) në të cilin shprehet vullneti për mbështetje teknike nga një subjekt me përvojë në fushën minerare. Subjekti mbështetës duhet të vërtetojë eksperiencën e tij në fushën minerare me dokumentacionin e parashikuar në këtë vendim;</w:t>
      </w:r>
    </w:p>
    <w:p w:rsidR="00A80F0E" w:rsidRPr="00A80F0E" w:rsidRDefault="00F6735C" w:rsidP="00A80F0E">
      <w:pPr>
        <w:jc w:val="both"/>
      </w:pPr>
      <w:r>
        <w:t>ë) H</w:t>
      </w:r>
      <w:r w:rsidR="00A80F0E" w:rsidRPr="00A80F0E">
        <w:t xml:space="preserve">istoriku i aktivitetit të shoqërisë; </w:t>
      </w:r>
    </w:p>
    <w:p w:rsidR="00A80F0E" w:rsidRPr="00A80F0E" w:rsidRDefault="00F6735C" w:rsidP="00A80F0E">
      <w:pPr>
        <w:jc w:val="both"/>
      </w:pPr>
      <w:r>
        <w:t>f) K</w:t>
      </w:r>
      <w:r w:rsidR="00A80F0E" w:rsidRPr="00A80F0E">
        <w:t xml:space="preserve">ualifikimet arsimore dhe profesionale të stafit përgjegjës për drejtimin e punimeve që lidhen me ekzekutimin e punimeve të planit të investimit, si: curriculum vitae, diploma, leje profesionale apo dokumente të tjera të ngjashme; </w:t>
      </w:r>
    </w:p>
    <w:p w:rsidR="00A80F0E" w:rsidRPr="00A80F0E" w:rsidRDefault="00F6735C" w:rsidP="00A80F0E">
      <w:pPr>
        <w:jc w:val="both"/>
      </w:pPr>
      <w:r>
        <w:t>g) Ce</w:t>
      </w:r>
      <w:r w:rsidR="00A80F0E" w:rsidRPr="00A80F0E">
        <w:t>rtifikata profesionale e drejtuesit teknik dhe kontrata me drejtuesin teknik;</w:t>
      </w:r>
    </w:p>
    <w:p w:rsidR="00F6735C" w:rsidRDefault="00F6735C" w:rsidP="00A80F0E">
      <w:pPr>
        <w:jc w:val="both"/>
      </w:pPr>
      <w:r>
        <w:t>gj) v</w:t>
      </w:r>
      <w:r w:rsidR="00A80F0E" w:rsidRPr="00A80F0E">
        <w:t xml:space="preserve">etëdeklarimi mbi punonjësit dhe stafin drejtues të shoqërisë; </w:t>
      </w:r>
    </w:p>
    <w:p w:rsidR="00A80F0E" w:rsidRPr="00A80F0E" w:rsidRDefault="00F6735C" w:rsidP="00A80F0E">
      <w:pPr>
        <w:jc w:val="both"/>
      </w:pPr>
      <w:r>
        <w:t>h) L</w:t>
      </w:r>
      <w:r w:rsidR="00A80F0E" w:rsidRPr="00A80F0E">
        <w:t>ista e mjeteve, e shoqëruar me dokumentet që vërtetojnë të drejtat reale që subjekti gëzon ndaj tyre (pronësi, qira, përdorim apo çdolloj tjetër posedimi).</w:t>
      </w:r>
    </w:p>
    <w:p w:rsidR="00A80F0E" w:rsidRPr="00A80F0E" w:rsidRDefault="00A80F0E" w:rsidP="00A80F0E">
      <w:pPr>
        <w:jc w:val="both"/>
      </w:pPr>
    </w:p>
    <w:p w:rsidR="00A80F0E" w:rsidRPr="00A80F0E" w:rsidRDefault="00A80F0E" w:rsidP="00A80F0E">
      <w:pPr>
        <w:jc w:val="both"/>
      </w:pPr>
    </w:p>
    <w:p w:rsidR="00A80F0E" w:rsidRPr="00A80F0E" w:rsidRDefault="00A80F0E" w:rsidP="00A80F0E">
      <w:pPr>
        <w:jc w:val="both"/>
      </w:pPr>
    </w:p>
    <w:p w:rsidR="00A80F0E" w:rsidRPr="00A80F0E" w:rsidRDefault="00A80F0E" w:rsidP="00A80F0E">
      <w:pPr>
        <w:jc w:val="both"/>
      </w:pPr>
    </w:p>
    <w:p w:rsidR="00B636A2" w:rsidRPr="00A80F0E" w:rsidRDefault="00B636A2" w:rsidP="00A80F0E">
      <w:pPr>
        <w:jc w:val="both"/>
      </w:pPr>
    </w:p>
    <w:p w:rsidR="00B636A2" w:rsidRPr="00A80F0E" w:rsidRDefault="00B636A2" w:rsidP="00A80F0E">
      <w:pPr>
        <w:jc w:val="both"/>
      </w:pPr>
      <w:r w:rsidRPr="00A80F0E">
        <w:t>Autoriteti shitës, kur kërkohet informacion për ofertuesin resident në një shtet të huaj, mund të kërkojë bashkëpunimin e autoriteteve përkatëse.</w:t>
      </w:r>
    </w:p>
    <w:p w:rsidR="00B636A2" w:rsidRDefault="00B636A2" w:rsidP="00A80F0E">
      <w:pPr>
        <w:jc w:val="both"/>
      </w:pPr>
    </w:p>
    <w:p w:rsidR="00950647" w:rsidRPr="00A80F0E" w:rsidRDefault="00950647" w:rsidP="00A80F0E">
      <w:pPr>
        <w:jc w:val="both"/>
      </w:pPr>
    </w:p>
    <w:p w:rsidR="00B636A2" w:rsidRPr="005C031F" w:rsidRDefault="00B636A2" w:rsidP="00A80F0E">
      <w:pPr>
        <w:jc w:val="both"/>
        <w:rPr>
          <w:b/>
          <w:i/>
          <w:u w:val="single"/>
        </w:rPr>
      </w:pPr>
      <w:r w:rsidRPr="005C031F">
        <w:rPr>
          <w:b/>
          <w:i/>
          <w:u w:val="single"/>
        </w:rPr>
        <w:t>S</w:t>
      </w:r>
      <w:r w:rsidR="00F6735C" w:rsidRPr="005C031F">
        <w:rPr>
          <w:b/>
          <w:i/>
          <w:u w:val="single"/>
        </w:rPr>
        <w:t>’</w:t>
      </w:r>
      <w:r w:rsidRPr="005C031F">
        <w:rPr>
          <w:b/>
          <w:i/>
          <w:u w:val="single"/>
        </w:rPr>
        <w:t>kualifikimi i ofertuesve</w:t>
      </w:r>
    </w:p>
    <w:p w:rsidR="00F6735C" w:rsidRPr="005C031F" w:rsidRDefault="00F6735C" w:rsidP="00A80F0E">
      <w:pPr>
        <w:jc w:val="both"/>
        <w:rPr>
          <w:b/>
          <w:i/>
          <w:u w:val="single"/>
        </w:rPr>
      </w:pPr>
    </w:p>
    <w:p w:rsidR="00B636A2" w:rsidRPr="00A80F0E" w:rsidRDefault="00B636A2" w:rsidP="00A80F0E">
      <w:pPr>
        <w:pStyle w:val="ListParagraph"/>
        <w:numPr>
          <w:ilvl w:val="0"/>
          <w:numId w:val="5"/>
        </w:numPr>
        <w:jc w:val="both"/>
      </w:pPr>
      <w:r w:rsidRPr="00A80F0E">
        <w:t>Autoriteti shitës s</w:t>
      </w:r>
      <w:r w:rsidR="00F6735C">
        <w:t>’</w:t>
      </w:r>
      <w:r w:rsidRPr="00A80F0E">
        <w:t>kualifikon në çdo kohë kandidatët ose ofertuesit, që paraqesin të dhëna të rreme ose një dokument të falsifikuar, për qëllime kualifikimi, gjatë procedur</w:t>
      </w:r>
      <w:r w:rsidR="00A80F0E" w:rsidRPr="00A80F0E">
        <w:t>ës së shitjes</w:t>
      </w:r>
      <w:r w:rsidRPr="00A80F0E">
        <w:t>. Autoriteti shitës në këtë rast vendos përjashtimin</w:t>
      </w:r>
      <w:r w:rsidR="00A80F0E" w:rsidRPr="00A80F0E">
        <w:t xml:space="preserve"> e</w:t>
      </w:r>
      <w:r w:rsidRPr="00A80F0E">
        <w:t xml:space="preserve"> ofertuesit që ka përdorur këto të dhëna apo dokumente.</w:t>
      </w:r>
    </w:p>
    <w:p w:rsidR="00B636A2" w:rsidRPr="00A80F0E" w:rsidRDefault="00B636A2" w:rsidP="00A80F0E">
      <w:pPr>
        <w:pStyle w:val="ListParagraph"/>
        <w:numPr>
          <w:ilvl w:val="0"/>
          <w:numId w:val="5"/>
        </w:numPr>
        <w:jc w:val="both"/>
      </w:pPr>
      <w:r w:rsidRPr="00A80F0E">
        <w:t>Kandidati/Ofertuesi i huaj duhet të vërtetojë se ai i plotëson të gjitha kërkesat e renditura më sipër. Nëse dokumentat e sipërpërmendur nuk lëshohen në shtetin e tyre të origjinës, atëherë mjafton një deklaratë me shkrim. Nëse gjuha e përdorur në procedurë është shqip, atëherë dokumentat në gjuhë të huaj duhet të shoqërohen me një përkthim të noterizuar në gjuhën shqipe.</w:t>
      </w:r>
    </w:p>
    <w:p w:rsidR="00B636A2" w:rsidRPr="00A80F0E" w:rsidRDefault="00B636A2" w:rsidP="00A80F0E">
      <w:pPr>
        <w:pStyle w:val="ListParagraph"/>
        <w:numPr>
          <w:ilvl w:val="0"/>
          <w:numId w:val="5"/>
        </w:numPr>
        <w:jc w:val="both"/>
      </w:pPr>
      <w:r w:rsidRPr="00A80F0E">
        <w:t>Në rastin e bashkimit të operatorëve ekonomikë, çdo anëtar i grupit duhet të dorëzojë dokumentat e lartpërmendur.</w:t>
      </w:r>
    </w:p>
    <w:p w:rsidR="008A2FCA" w:rsidRPr="00A80F0E" w:rsidRDefault="008A2FCA" w:rsidP="00A80F0E">
      <w:pPr>
        <w:jc w:val="both"/>
      </w:pPr>
    </w:p>
    <w:p w:rsidR="008A2FCA" w:rsidRPr="00A80F0E" w:rsidRDefault="008A2FCA" w:rsidP="00A80F0E">
      <w:pPr>
        <w:jc w:val="both"/>
      </w:pPr>
    </w:p>
    <w:p w:rsidR="008A2FCA" w:rsidRPr="00A80F0E" w:rsidRDefault="008A2FCA" w:rsidP="00A80F0E">
      <w:pPr>
        <w:jc w:val="both"/>
      </w:pPr>
    </w:p>
    <w:p w:rsidR="008A2FCA" w:rsidRPr="00A80F0E" w:rsidRDefault="008A2FCA" w:rsidP="00A80F0E">
      <w:pPr>
        <w:jc w:val="both"/>
      </w:pPr>
      <w:r w:rsidRPr="00A80F0E">
        <w:t>Të gjithë dokumentat origjinalë ose kopje të noterizuara të tyre. Rastet e mos dorëzimit të një dokumenti, ose të dokumentave të rreme e të pasakta, konsiderohen si kushte për skualifikim.</w:t>
      </w:r>
    </w:p>
    <w:p w:rsidR="008A2FCA" w:rsidRPr="00A80F0E" w:rsidRDefault="008A2FCA" w:rsidP="00A80F0E">
      <w:pPr>
        <w:jc w:val="both"/>
      </w:pPr>
    </w:p>
    <w:p w:rsidR="008A2FCA" w:rsidRPr="00A80F0E" w:rsidRDefault="008A2FCA" w:rsidP="00A80F0E">
      <w:pPr>
        <w:jc w:val="both"/>
      </w:pPr>
    </w:p>
    <w:p w:rsidR="008A2FCA" w:rsidRPr="00A80F0E" w:rsidRDefault="008A2FCA" w:rsidP="00A80F0E">
      <w:pPr>
        <w:jc w:val="both"/>
      </w:pPr>
    </w:p>
    <w:p w:rsidR="00E502C5" w:rsidRPr="00A80F0E" w:rsidRDefault="00E502C5" w:rsidP="00A80F0E">
      <w:pPr>
        <w:spacing w:line="276" w:lineRule="auto"/>
        <w:jc w:val="both"/>
        <w:rPr>
          <w:b/>
          <w:lang w:val="it-IT"/>
        </w:rPr>
      </w:pPr>
      <w:r w:rsidRPr="00A80F0E">
        <w:rPr>
          <w:b/>
          <w:lang w:val="it-IT"/>
        </w:rPr>
        <w:t>Shpresa BREÇANI</w:t>
      </w:r>
    </w:p>
    <w:p w:rsidR="00E502C5" w:rsidRPr="00A80F0E" w:rsidRDefault="00E502C5" w:rsidP="00A80F0E">
      <w:pPr>
        <w:spacing w:line="276" w:lineRule="auto"/>
        <w:jc w:val="both"/>
        <w:rPr>
          <w:b/>
          <w:lang w:val="it-IT"/>
        </w:rPr>
      </w:pPr>
      <w:r w:rsidRPr="00A80F0E">
        <w:rPr>
          <w:b/>
          <w:lang w:val="it-IT"/>
        </w:rPr>
        <w:t>Administratore Falimentimi</w:t>
      </w:r>
    </w:p>
    <w:p w:rsidR="00E502C5" w:rsidRPr="00A80F0E" w:rsidRDefault="00E502C5" w:rsidP="00A80F0E">
      <w:pPr>
        <w:spacing w:line="276" w:lineRule="auto"/>
        <w:jc w:val="both"/>
        <w:rPr>
          <w:b/>
          <w:lang w:val="it-IT"/>
        </w:rPr>
      </w:pPr>
      <w:r w:rsidRPr="00A80F0E">
        <w:rPr>
          <w:b/>
          <w:lang w:val="it-IT"/>
        </w:rPr>
        <w:t>Nr. Lic 09</w:t>
      </w:r>
    </w:p>
    <w:p w:rsidR="008A2FCA" w:rsidRPr="00E502C5" w:rsidRDefault="008A2FCA" w:rsidP="008A2FCA">
      <w:pPr>
        <w:autoSpaceDE w:val="0"/>
        <w:autoSpaceDN w:val="0"/>
        <w:adjustRightInd w:val="0"/>
        <w:spacing w:line="360" w:lineRule="auto"/>
        <w:ind w:right="-540"/>
        <w:jc w:val="both"/>
        <w:rPr>
          <w:rFonts w:eastAsia="Times New Roman"/>
          <w:lang w:val="it-IT" w:eastAsia="en-US"/>
        </w:rPr>
      </w:pPr>
    </w:p>
    <w:p w:rsidR="008A2FCA" w:rsidRPr="00AB07EA" w:rsidRDefault="008A2FCA" w:rsidP="008A2FCA"/>
    <w:p w:rsidR="007F603F" w:rsidRDefault="007F603F"/>
    <w:sectPr w:rsidR="007F603F" w:rsidSect="008E5E4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62" w:rsidRDefault="00165F62">
      <w:r>
        <w:separator/>
      </w:r>
    </w:p>
  </w:endnote>
  <w:endnote w:type="continuationSeparator" w:id="1">
    <w:p w:rsidR="00165F62" w:rsidRDefault="00165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077462">
      <w:tc>
        <w:tcPr>
          <w:tcW w:w="918" w:type="dxa"/>
        </w:tcPr>
        <w:p w:rsidR="00077462" w:rsidRDefault="00C66A8F">
          <w:pPr>
            <w:pStyle w:val="Footer"/>
            <w:jc w:val="right"/>
            <w:rPr>
              <w:b/>
              <w:color w:val="5B9BD5" w:themeColor="accent1"/>
              <w:sz w:val="32"/>
              <w:szCs w:val="32"/>
            </w:rPr>
          </w:pPr>
          <w:r w:rsidRPr="00C66A8F">
            <w:fldChar w:fldCharType="begin"/>
          </w:r>
          <w:r w:rsidR="008A2FCA">
            <w:instrText xml:space="preserve"> PAGE   \* MERGEFORMAT </w:instrText>
          </w:r>
          <w:r w:rsidRPr="00C66A8F">
            <w:fldChar w:fldCharType="separate"/>
          </w:r>
          <w:r w:rsidR="004D31C5" w:rsidRPr="004D31C5">
            <w:rPr>
              <w:b/>
              <w:noProof/>
              <w:color w:val="5B9BD5" w:themeColor="accent1"/>
              <w:sz w:val="32"/>
              <w:szCs w:val="32"/>
            </w:rPr>
            <w:t>2</w:t>
          </w:r>
          <w:r>
            <w:rPr>
              <w:b/>
              <w:noProof/>
              <w:color w:val="5B9BD5" w:themeColor="accent1"/>
              <w:sz w:val="32"/>
              <w:szCs w:val="32"/>
            </w:rPr>
            <w:fldChar w:fldCharType="end"/>
          </w:r>
        </w:p>
      </w:tc>
      <w:tc>
        <w:tcPr>
          <w:tcW w:w="7938" w:type="dxa"/>
        </w:tcPr>
        <w:p w:rsidR="00077462" w:rsidRDefault="00165F62" w:rsidP="009E6FEE">
          <w:pPr>
            <w:tabs>
              <w:tab w:val="left" w:pos="3600"/>
              <w:tab w:val="center" w:pos="4320"/>
            </w:tabs>
            <w:jc w:val="center"/>
          </w:pPr>
        </w:p>
      </w:tc>
    </w:tr>
  </w:tbl>
  <w:p w:rsidR="00077462" w:rsidRDefault="00165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62" w:rsidRDefault="00165F62">
      <w:r>
        <w:separator/>
      </w:r>
    </w:p>
  </w:footnote>
  <w:footnote w:type="continuationSeparator" w:id="1">
    <w:p w:rsidR="00165F62" w:rsidRDefault="00165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62" w:rsidRPr="00603AE2" w:rsidRDefault="008A2FCA" w:rsidP="00A734BD">
    <w:pPr>
      <w:pBdr>
        <w:bottom w:val="single" w:sz="4" w:space="1" w:color="auto"/>
      </w:pBdr>
      <w:jc w:val="both"/>
      <w:rPr>
        <w:b/>
        <w:bCs/>
        <w:sz w:val="20"/>
        <w:szCs w:val="22"/>
      </w:rPr>
    </w:pPr>
    <w:r>
      <w:rPr>
        <w:b/>
        <w:bCs/>
        <w:sz w:val="20"/>
        <w:szCs w:val="22"/>
      </w:rPr>
      <w:t>Administratore Falimentimi</w:t>
    </w:r>
    <w:r w:rsidRPr="004A7E9F">
      <w:rPr>
        <w:noProof/>
        <w:sz w:val="20"/>
        <w:szCs w:val="22"/>
        <w:lang w:val="it-IT" w:eastAsia="en-US"/>
      </w:rPr>
      <w:tab/>
    </w:r>
    <w:r>
      <w:rPr>
        <w:noProof/>
        <w:sz w:val="20"/>
        <w:szCs w:val="22"/>
        <w:lang w:val="it-IT" w:eastAsia="en-US"/>
      </w:rPr>
      <w:tab/>
    </w:r>
    <w:r>
      <w:rPr>
        <w:noProof/>
        <w:sz w:val="20"/>
        <w:szCs w:val="22"/>
        <w:lang w:val="it-IT" w:eastAsia="en-US"/>
      </w:rPr>
      <w:tab/>
    </w:r>
    <w:r>
      <w:rPr>
        <w:noProof/>
        <w:sz w:val="20"/>
        <w:szCs w:val="22"/>
        <w:lang w:val="it-IT" w:eastAsia="en-US"/>
      </w:rPr>
      <w:tab/>
    </w:r>
    <w:r>
      <w:rPr>
        <w:noProof/>
        <w:sz w:val="20"/>
        <w:szCs w:val="22"/>
        <w:lang w:val="it-IT" w:eastAsia="en-US"/>
      </w:rPr>
      <w:tab/>
    </w:r>
    <w:r>
      <w:rPr>
        <w:noProof/>
        <w:sz w:val="20"/>
        <w:szCs w:val="22"/>
        <w:lang w:val="it-IT" w:eastAsia="en-US"/>
      </w:rPr>
      <w:tab/>
    </w:r>
    <w:r>
      <w:rPr>
        <w:noProof/>
        <w:sz w:val="20"/>
        <w:szCs w:val="22"/>
        <w:lang w:val="it-IT" w:eastAsia="en-US"/>
      </w:rPr>
      <w:tab/>
    </w:r>
    <w:r>
      <w:rPr>
        <w:noProof/>
        <w:sz w:val="20"/>
        <w:szCs w:val="22"/>
        <w:lang w:val="it-IT" w:eastAsia="en-US"/>
      </w:rPr>
      <w:tab/>
    </w:r>
    <w:r>
      <w:rPr>
        <w:noProof/>
        <w:sz w:val="20"/>
        <w:szCs w:val="22"/>
        <w:lang w:val="it-IT" w:eastAsia="en-US"/>
      </w:rPr>
      <w:tab/>
    </w:r>
    <w:r w:rsidRPr="00603AE2">
      <w:rPr>
        <w:b/>
        <w:bCs/>
        <w:sz w:val="20"/>
        <w:szCs w:val="22"/>
      </w:rPr>
      <w:t>Tel / fax:  04 - 223331</w:t>
    </w:r>
  </w:p>
  <w:p w:rsidR="00077462" w:rsidRPr="00603AE2" w:rsidRDefault="008A2FCA" w:rsidP="00A734BD">
    <w:pPr>
      <w:pBdr>
        <w:bottom w:val="single" w:sz="4" w:space="1" w:color="auto"/>
      </w:pBdr>
      <w:tabs>
        <w:tab w:val="left" w:pos="6724"/>
      </w:tabs>
      <w:jc w:val="both"/>
      <w:rPr>
        <w:b/>
        <w:bCs/>
        <w:sz w:val="18"/>
        <w:szCs w:val="20"/>
      </w:rPr>
    </w:pPr>
    <w:r w:rsidRPr="00603AE2">
      <w:rPr>
        <w:b/>
        <w:bCs/>
        <w:sz w:val="18"/>
        <w:szCs w:val="20"/>
      </w:rPr>
      <w:t>Shpres</w:t>
    </w:r>
    <w:r>
      <w:rPr>
        <w:b/>
        <w:bCs/>
        <w:sz w:val="18"/>
        <w:szCs w:val="20"/>
      </w:rPr>
      <w:t>a Breçani ,    Licenca nr. 9</w:t>
    </w:r>
    <w:r>
      <w:rPr>
        <w:b/>
        <w:bCs/>
        <w:sz w:val="18"/>
        <w:szCs w:val="20"/>
      </w:rPr>
      <w:tab/>
    </w:r>
    <w:r>
      <w:rPr>
        <w:b/>
        <w:bCs/>
        <w:sz w:val="18"/>
        <w:szCs w:val="20"/>
      </w:rPr>
      <w:tab/>
    </w:r>
    <w:r>
      <w:rPr>
        <w:b/>
        <w:bCs/>
        <w:sz w:val="18"/>
        <w:szCs w:val="20"/>
      </w:rPr>
      <w:tab/>
    </w:r>
    <w:r>
      <w:rPr>
        <w:b/>
        <w:bCs/>
        <w:sz w:val="18"/>
        <w:szCs w:val="20"/>
      </w:rPr>
      <w:tab/>
    </w:r>
    <w:r w:rsidRPr="00603AE2">
      <w:rPr>
        <w:b/>
        <w:bCs/>
        <w:sz w:val="18"/>
        <w:szCs w:val="20"/>
      </w:rPr>
      <w:t>Cel :      068 20 94 103</w:t>
    </w:r>
  </w:p>
  <w:p w:rsidR="00077462" w:rsidRPr="00603AE2" w:rsidRDefault="00A80F0E" w:rsidP="00A734BD">
    <w:pPr>
      <w:pBdr>
        <w:bottom w:val="single" w:sz="4" w:space="1" w:color="auto"/>
      </w:pBdr>
      <w:tabs>
        <w:tab w:val="left" w:pos="6724"/>
      </w:tabs>
      <w:jc w:val="both"/>
      <w:rPr>
        <w:b/>
        <w:bCs/>
        <w:sz w:val="18"/>
        <w:szCs w:val="20"/>
      </w:rPr>
    </w:pPr>
    <w:r>
      <w:rPr>
        <w:b/>
        <w:bCs/>
        <w:sz w:val="18"/>
        <w:szCs w:val="20"/>
      </w:rPr>
      <w:t xml:space="preserve">Adresa: Rr. Panorama </w:t>
    </w:r>
    <w:r w:rsidR="008A2FCA" w:rsidRPr="00603AE2">
      <w:rPr>
        <w:b/>
        <w:bCs/>
        <w:sz w:val="18"/>
        <w:szCs w:val="20"/>
      </w:rPr>
      <w:t>,prane Hipotekes</w:t>
    </w:r>
    <w:r w:rsidR="008A2FCA">
      <w:rPr>
        <w:b/>
        <w:bCs/>
        <w:sz w:val="18"/>
        <w:szCs w:val="20"/>
      </w:rPr>
      <w:t xml:space="preserve">, Pall. Sara-El, Kati I, Ap I, Tiranë  </w:t>
    </w:r>
    <w:r w:rsidR="008A2FCA">
      <w:rPr>
        <w:b/>
        <w:bCs/>
        <w:sz w:val="18"/>
        <w:szCs w:val="20"/>
      </w:rPr>
      <w:tab/>
    </w:r>
    <w:r w:rsidR="008A2FCA">
      <w:rPr>
        <w:b/>
        <w:bCs/>
        <w:sz w:val="18"/>
        <w:szCs w:val="20"/>
      </w:rPr>
      <w:tab/>
    </w:r>
    <w:r w:rsidR="008A2FCA">
      <w:rPr>
        <w:b/>
        <w:bCs/>
        <w:sz w:val="18"/>
        <w:szCs w:val="20"/>
      </w:rPr>
      <w:tab/>
      <w:t xml:space="preserve">      email: sh.brecani@yahoo.com</w:t>
    </w:r>
  </w:p>
  <w:p w:rsidR="00077462" w:rsidRDefault="00165F62" w:rsidP="00A734BD">
    <w:pPr>
      <w:tabs>
        <w:tab w:val="left" w:pos="6724"/>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6087"/>
    <w:multiLevelType w:val="hybridMultilevel"/>
    <w:tmpl w:val="140C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12D01"/>
    <w:multiLevelType w:val="hybridMultilevel"/>
    <w:tmpl w:val="AFA61972"/>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7F4E2831"/>
    <w:multiLevelType w:val="hybridMultilevel"/>
    <w:tmpl w:val="66404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2FCA"/>
    <w:rsid w:val="00142DFA"/>
    <w:rsid w:val="00165F62"/>
    <w:rsid w:val="001A013A"/>
    <w:rsid w:val="00394335"/>
    <w:rsid w:val="004D31C5"/>
    <w:rsid w:val="005C031F"/>
    <w:rsid w:val="007720FB"/>
    <w:rsid w:val="007F603F"/>
    <w:rsid w:val="008A2FCA"/>
    <w:rsid w:val="0092609C"/>
    <w:rsid w:val="00950647"/>
    <w:rsid w:val="009548C2"/>
    <w:rsid w:val="00A80F0E"/>
    <w:rsid w:val="00AB07EA"/>
    <w:rsid w:val="00B636A2"/>
    <w:rsid w:val="00B818EB"/>
    <w:rsid w:val="00C66A8F"/>
    <w:rsid w:val="00C7074B"/>
    <w:rsid w:val="00E502C5"/>
    <w:rsid w:val="00EC75A5"/>
    <w:rsid w:val="00F3708A"/>
    <w:rsid w:val="00F67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CA"/>
    <w:pPr>
      <w:spacing w:after="0" w:line="240" w:lineRule="auto"/>
    </w:pPr>
    <w:rPr>
      <w:rFonts w:ascii="Times New Roman" w:eastAsia="SimSun" w:hAnsi="Times New Roman" w:cs="Times New Roman"/>
      <w:sz w:val="24"/>
      <w:szCs w:val="24"/>
      <w:lang w:val="sq-A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CA"/>
    <w:pPr>
      <w:ind w:left="720"/>
      <w:contextualSpacing/>
    </w:pPr>
  </w:style>
  <w:style w:type="paragraph" w:styleId="Footer">
    <w:name w:val="footer"/>
    <w:basedOn w:val="Normal"/>
    <w:link w:val="FooterChar"/>
    <w:uiPriority w:val="99"/>
    <w:unhideWhenUsed/>
    <w:rsid w:val="008A2FCA"/>
    <w:pPr>
      <w:tabs>
        <w:tab w:val="center" w:pos="4680"/>
        <w:tab w:val="right" w:pos="9360"/>
      </w:tabs>
    </w:pPr>
  </w:style>
  <w:style w:type="character" w:customStyle="1" w:styleId="FooterChar">
    <w:name w:val="Footer Char"/>
    <w:basedOn w:val="DefaultParagraphFont"/>
    <w:link w:val="Footer"/>
    <w:uiPriority w:val="99"/>
    <w:rsid w:val="008A2FCA"/>
    <w:rPr>
      <w:rFonts w:ascii="Times New Roman" w:eastAsia="SimSun" w:hAnsi="Times New Roman" w:cs="Times New Roman"/>
      <w:sz w:val="24"/>
      <w:szCs w:val="24"/>
      <w:lang w:val="sq-AL" w:eastAsia="zh-CN"/>
    </w:rPr>
  </w:style>
  <w:style w:type="paragraph" w:styleId="Header">
    <w:name w:val="header"/>
    <w:basedOn w:val="Normal"/>
    <w:link w:val="HeaderChar"/>
    <w:uiPriority w:val="99"/>
    <w:unhideWhenUsed/>
    <w:rsid w:val="008A2FCA"/>
    <w:pPr>
      <w:tabs>
        <w:tab w:val="center" w:pos="4680"/>
        <w:tab w:val="right" w:pos="9360"/>
      </w:tabs>
    </w:pPr>
  </w:style>
  <w:style w:type="character" w:customStyle="1" w:styleId="HeaderChar">
    <w:name w:val="Header Char"/>
    <w:basedOn w:val="DefaultParagraphFont"/>
    <w:link w:val="Header"/>
    <w:uiPriority w:val="99"/>
    <w:rsid w:val="008A2FCA"/>
    <w:rPr>
      <w:rFonts w:ascii="Times New Roman" w:eastAsia="SimSun" w:hAnsi="Times New Roman" w:cs="Times New Roman"/>
      <w:sz w:val="24"/>
      <w:szCs w:val="24"/>
      <w:lang w:val="sq-AL" w:eastAsia="zh-CN"/>
    </w:rPr>
  </w:style>
  <w:style w:type="paragraph" w:styleId="BalloonText">
    <w:name w:val="Balloon Text"/>
    <w:basedOn w:val="Normal"/>
    <w:link w:val="BalloonTextChar"/>
    <w:uiPriority w:val="99"/>
    <w:semiHidden/>
    <w:unhideWhenUsed/>
    <w:rsid w:val="00E50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C5"/>
    <w:rPr>
      <w:rFonts w:ascii="Segoe UI" w:eastAsia="SimSun" w:hAnsi="Segoe UI" w:cs="Segoe UI"/>
      <w:sz w:val="18"/>
      <w:szCs w:val="18"/>
      <w:lang w:val="sq-AL" w:eastAsia="zh-CN"/>
    </w:rPr>
  </w:style>
</w:styles>
</file>

<file path=word/webSettings.xml><?xml version="1.0" encoding="utf-8"?>
<w:webSettings xmlns:r="http://schemas.openxmlformats.org/officeDocument/2006/relationships" xmlns:w="http://schemas.openxmlformats.org/wordprocessingml/2006/main">
  <w:divs>
    <w:div w:id="6260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0AB4-C911-4E4A-B29D-AD6D2B99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sh02_03</dc:creator>
  <cp:keywords/>
  <dc:description/>
  <cp:lastModifiedBy>user</cp:lastModifiedBy>
  <cp:revision>8</cp:revision>
  <cp:lastPrinted>2022-08-11T11:10:00Z</cp:lastPrinted>
  <dcterms:created xsi:type="dcterms:W3CDTF">2022-07-14T14:56:00Z</dcterms:created>
  <dcterms:modified xsi:type="dcterms:W3CDTF">2022-08-19T21:45:00Z</dcterms:modified>
</cp:coreProperties>
</file>